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Лечебное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Лечебное дело (ПП) | Записей: 2</w:t>
      </w:r>
    </w:p>
    <w:p>
      <w:r>
        <w:br w:type="page"/>
      </w:r>
    </w:p>
    <w:p>
      <w:pPr>
        <w:pStyle w:val="Heading1"/>
      </w:pPr>
      <w:r>
        <w:t>Лечебное дело (ПП)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75 лет, пенсионерка, обратилась к участковому 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на одышку и боли за грудиной сжимающего характера, возникающие при обычной физической нагрузке, проходящие в покое,</w:t>
        <w:br/>
        <w:t>*</w:t>
        <w:tab/>
        <w:t>слабость, повышенную утомляемость,</w:t>
        <w:br/>
        <w:t>*</w:t>
        <w:tab/>
        <w:t>боли в эпигастрии после еды, уменьшающиеся после приема антацидных препаратов,</w:t>
        <w:br/>
        <w:t>*</w:t>
        <w:tab/>
        <w:t>повышение АД несмотря на медикаментозную терапию.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30 лет отмечает повышение АД максимально до 170/90 мм рт.ст., по поводу чего был назначен капотен, от приема которого пациентка в последующем вынуждена была отказаться в связи с развившимся отеком Квинке. Около 20 лет назад впервые появились эпизоды сжимающих болей за грудиной в ответ на нагрузку. Наблюдалась у кардиолога, выполняла рекомендации, однако постепенно снизилась толерантность к нагрузке. В настоящее время получает валсартан 80 мг 2 р/д, бисопролол 2,5 мг утром, розувастатин 20 мг вечером, аспирин 75 мг вечером. Также в течение длительного времени отмечает появление болей в области эпигастрия, возникающих через 30-50 мин после приема пищи, особенно острой, уменьшающихся после приема альмагеля. Со слов больной, полгода назад было рекомендовано обследование: серологическая диагностика на _Helicobacter pylori_ с последующим решением вопроса о проведении стандартной трехкомпонентной эрадикационной терапии. От обследования и дальнейшего лечения пациентка отказалась, принимала только антациды «по требованию». Настоящее ухудшение около 2-х недель, когда участились боли в эпигастрии, усилилась изжога.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Росла и развивалась нормально.</w:t>
        <w:br/>
        <w:t>*</w:t>
        <w:tab/>
        <w:t>Работала стоматологом, в настоящее время на пенсии.</w:t>
        <w:br/>
        <w:t>*</w:t>
        <w:tab/>
        <w:t>Вредные привычки отрицает.</w:t>
        <w:br/>
        <w:t>*      Аллергологический анамнез: отек Квинке на прием капотена.</w:t>
        <w:br/>
        <w:t>*</w:t>
        <w:tab/>
        <w:t>Семейный анамнез: Отец больной умер в возрасте 52 лет от заболевания сердца. Мать страдала ГБ, умерла в 60 лет от ОССН.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170 см, вес 94 кг, ИМТ 32,5 кг/м2. Кожные покровы бледные. Симметричные отеки стоп, голеностопных суставов. T тела 36,20С. Грудная клетка цилиндрической формы, симметричная. ЧДД 22 в минуту. При сравнительной перкуссии в симметричных участках грудной клетки определяется легочный звук с притуплением с двух сторон ниже углов лопаток. При аускультации над легкими выслушивается жесткое дыхание, ослабленное в нижних отделах, хрипов нет. Границы относительной тупости сердца: правая - по правому краю грудины, левая - в V межреберье по передне-подмышечной линии, верхняя – по верхнему краю III ребра. При аускультации сердца тоны ослаблены, ритмичные. ЧСС - 70 ударов в минуту. АД - 160/85 мм рт.ст. Пульс 70 ударов в минуту. Живот мягкий, чувствительный при пальпации в эпигастрии, там же – положительный симптом Менделя. Живот умеренно вздут по ходу толстого кишечника. Размеры печени: 10x9x8 см. Область почек не изменена. Почки не пальпируются. Диурез в норме. Отмечает склонность к запорам.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крови на АТ к _H.influenzae_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дыхательный уреазный тест на _H.pylori_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титра AMA-М2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проба Зимницкого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дыхательный уреазный тест на _H.pylori_</w:t>
      </w:r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 рекомендуется проведение общего (клинического) анализа крови (исследование уровня эритроцитов, тромбоцитов, лейкоцитов в крови, оценка гематокрита).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Инфекция _H. pylori_  признана независимым фактором риска образования язв при приеме НПВС.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c подозрением на гастрит для первичной диагностики _H. pylori_ рекомендуется назначать референсные методы диагностики инфекции _H. pylori_ - дыхательный тест с мочевиной, меченной 13С (13С-уреазный дыхательный тест на _Helicobacter pylori_), и моноклональное определение антигена _H. pylori_ в кале лабораторным способом.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Гастрит и дуоденит,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бронхоскопия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обзорная рентгенография брюшной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УЗИ органов брюшной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ЭКГ в покое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ФВД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ЭГДС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ЭКГ в покое; ЭГДС</w:t>
      </w:r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c ХСН рекомендуется выполнение 12-канальной ЭКГ с оценкой сердечного ритма, частоты сердечных сокращений (ЧСС), морфологии и продолжительности QRS, наличия нарушений АВ и желудочковой проводимости (блокада левой ножки пучка Гиса (БЛНПГ), блокада правой ножки пучка Гиса (БПНПГ)), рубцового поражения миокарда, гипертрофии миокарда). Диагноз ХСН маловероятен при наличии абсолютно нормальной ЭКГ.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диагностики хронического гастрита:</w:t>
        <w:br/>
        <w:br/>
        <w:t>* эндоскопический с обязательной морфологической оценкой 5 биоптатов</w:t>
        <w:br/>
        <w:t>* диагностика _Helicobacter pylori_</w:t>
        <w:br/>
        <w:t>* определение кислотообразующей функции желудка (внутрижелудочная рН-метрия)</w:t>
        <w:br/>
        <w:t>* рентгенологический.</w:t>
        <w:br/>
        <w:br/>
        <w:t>Показания к проведению эндоскопического исследования органов ЖКТ включают: наличие клинических признаков заболевания органов пищеварения, необходимость дифференциальной диагностики, контроль эффективности терапии. Пациентам из групп риска эндоскопическое исследование необходимо проводить в рамках скрининговых профилактических осмотров. При этом оценивают эндоскопические и морфологические изменения. При локализации язвы в желудке в обязательном порядке проводят биопсию с последующим гистологическим исследованием полученного материала, что позволяет исключить злокачественный характер язвенного поражения.</w:t>
        <w:br/>
        <w:br/>
        <w:t>Палевская, С. А. Эндоскопия желудочно-кишечного тракта / С. А. Палевская, А. Г. Короткевич. - 2-е изд. , перераб. и доп. - Москва : ГЭОТАР-Медиа, 2022. - 752 с. - ISBN 978-5-9704-7751-9.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Хронический калькулезный панкреатит.</w:t>
        <w:br/>
        <w:t>Гипертоническая болезнь III ст., 2 ст., риск ССО очень высокий. ХСН, 1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ИБС: Постинфарктный кардиосклероз (ОИМ неизвестной давности).</w:t>
        <w:br/>
        <w:t>Гипертоническая болезнь I ст., 2 ст., риск ССО средний. ХСН, III ФК NYHA.</w:t>
        <w:br/>
        <w:t>НПВС-гастропатия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ИБС: стенокардия напряжения II ФК. Гипертоническая болезнь III ст., неконтролируемая АГ, риск ССО очень высокий. ХСН, II ФК NYHA. Хронический _Н.рylory_ – ассоциированный гастрит. Ожирение 1 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ИБС: стенокардия напряжения III ФК. Гипертоническая болезнь III ст., 3 ст., риск ССО высокий. Хронический атрофический гастрит. Хронический калькулезный холецистит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стенокардия напряжения II ФК. Гипертоническая болезнь III ст., неконтролируемая АГ, риск ССО очень высокий. ХСН, II ФК NYHA. Хронический _Н.рylory_ – ассоциированный гастрит. Ожирение 1 ст</w:t>
      </w:r>
    </w:p>
    <w:p>
      <w:pPr>
        <w:ind w:left="504"/>
      </w:pPr>
      <w:r>
        <w:rPr>
          <w:b w:val="0"/>
          <w:i/>
        </w:rPr>
        <w:t>У больной имеются анамнестические данные о предшествующей АГ (с учетом типичного возраста начала заболевания, ФР, наиболее вероятна гипертоническая болезнь), повышение АД до 160/90 мм рт.ст. на фоне комбинированной антигипертензивной терапии– критерий АГ, очень высокого риска.</w:t>
        <w:br/>
        <w:br/>
      </w:r>
      <w:hyperlink r:id="rId18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т.к. имеются ассоциированные клинические состояния – ИБС, проявляющаяся типичными ангинозными приступами при уровне физической нагрузки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соответствующей II ФК.</w:t>
        <w:br/>
        <w:br/>
      </w:r>
      <w:hyperlink r:id="rId2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и ХСН, проявляющаяся в покое признаками застоя по большому и малому кругам кровообращения, что соответствует IIБ ст.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С помощью ЭГДС и дыхательного уреазного теста определен диагноз хронического гастрита. В контексте длительного приема НПВП по поводу ИБС у данной пациентки нельзя исключить роль НПВП в развитии хронического гастрита.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Гастрит и дуоденит,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 результатам эхокардиографии пациентка имеет ФВ ЛЖ 45%, что соответствует ХСН с +__________________+ фракцией выброса левого желудочка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улучшенной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низкой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умеренно сниженной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сохраненной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умеренно сниженной</w:t>
      </w:r>
    </w:p>
    <w:p>
      <w:pPr>
        <w:ind w:left="504"/>
      </w:pPr>
      <w:r>
        <w:rPr>
          <w:b w:val="0"/>
          <w:i/>
        </w:rPr>
        <w:t>ХСН с умеренно сниженной ФВ – характерно умеренное снижение сократительной способности ЛЖ, ФВ ЛЖ = 41-49% 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схему первой линии эрадикации _H. pylori_, наряду с ингибиторами протоновой помпы, входят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кларитромицин, амоксициллин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 висмута, цефиксим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амоксициллин, кларитромицин и висмута трикалия дицитрат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левофлоксацин, метронидазол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амоксициллин, кларитромицин и висмута трикалия дицитрат</w:t>
      </w:r>
    </w:p>
    <w:p>
      <w:pPr>
        <w:ind w:left="504"/>
      </w:pPr>
      <w:r>
        <w:rPr>
          <w:b w:val="0"/>
          <w:i/>
        </w:rPr>
        <w:t>Всем пациентам гастритом с положительными результатами тестирования на инфекцию _H.рylori_ и показаниями для проведения эрадикационной терапии в качестве эрадикационной терапии первой линии, обеспечивающий высокий процент эрадикации инфекции, рекомендуется назначить по выбору:</w:t>
        <w:br/>
        <w:br/>
        <w:t>- стандартную тройную терапию, включающую ИПН (в стандартной дозе 2 раза в сутки), кларитромицин</w:t>
        <w:br/>
        <w:t>(500 мг 2 раза в сутки) и амоксициллин (1000 мг 2 раза в сутки внутрь), усиленную висмута трикалия дицитратом (120 мг 4 раза в день или 240 мг 2 раза в день) на 14 дней</w:t>
        <w:br/>
        <w:br/>
        <w:t>или</w:t>
        <w:br/>
        <w:br/>
        <w:t>- классическую четырехкомпонентную терапия с висмутом трикалия дицитратом (120 мг 4 раза в сутки) в сочетании с ИПН (в стандартной дозе 2 раза в сутки), тетрациклином (500 мг 4 раза в сутки внутрь) и метронидазолом (500 мг 3 раза в сутки) на 14 дней</w:t>
        <w:br/>
        <w:br/>
        <w:t>или</w:t>
        <w:br/>
        <w:br/>
        <w:t>- квадротерапию без препаратов висмута, которая включает стандартную тройную терапию (ИПН в стандартной дозе 2 раза в сутки), амоксициллин (в дозе 1000 мг 2 раза в сутки внутрь), кларитромицин (500 мг 2 раза в сутки), усиленную метронидазолом (500 мг 3 раза в сутки) на 14 дней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Гастрит и дуоденит,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Необходимость назначения блокатора ангиотензиновых рецепторов вместо иАПФ в качестве терапии «первой линии» у больной с ХСН могла быть обусловлена наличием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ангионевротического отека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хронического _Н.рylori_-ассоциированного гастрита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отягощенного по заболеваниям сердечно-сосудистой системы семейного анамнеза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глаукомы с повышением внутриглазного давления более 24 мм рт.ст.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ангионевротического отека в анамнезе</w:t>
      </w:r>
    </w:p>
    <w:p>
      <w:pPr>
        <w:ind w:left="504"/>
      </w:pPr>
      <w:r>
        <w:rPr>
          <w:b w:val="0"/>
          <w:i/>
        </w:rPr>
        <w:t>Применение АРА рекомендуется пациентам с ХСНнФВ только в случае непереносимости валсартана+сакубитрила/иАПФ для снижения риска госпитализации из-за ХСН и смерти.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Под «непереносимостью» иАПФ следует понимать: наличие индивидуальной непереносимости (аллергии), развитие ангионевротического отека, кашля. Нарушение функции почек, развитие гиперкалиемии и гипотонии при лечении иАПФ в понятие «непереносимость» не входит и может наблюдаться у пациентов с ХСН с одинаковой частотой как при применении иАПФ, так и АРА.</w:t>
        <w:br/>
        <w:br/>
      </w:r>
      <w:hyperlink r:id="rId18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Стратегия снижения веса у больной с ожирением 1 ст. (ИМТ 32,5 кг/м2) должна заключаться в рекомендации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соблюдения разгрузочных дней, регулярных физических нагрузок (4 раза в неделю по 1,5 часа)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использования методов бариатрической хирургии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дозированных, тщательно спланированных физических аэробных нагрузок и диеты с ограничением животных жиров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использования диеты Аткинса при сохранении малоподвижного образа жизни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дозированных, тщательно спланированных физических аэробных нагрузок и диеты с ограничением животных жиров</w:t>
      </w:r>
    </w:p>
    <w:p>
      <w:pPr>
        <w:ind w:left="504"/>
      </w:pPr>
      <w:r>
        <w:rPr>
          <w:b w:val="0"/>
          <w:i/>
        </w:rPr>
        <w:t>При выявлении избыточной массы тела рекомендуется ее снижение с помощью дозированных физических нагрузок и низкокалорийной диеты. При необходимости рекомендуется направить пациента к врачу-диетологу для коррекции диеты и/или подбора медикаментозного лечения ожирения.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Целевым показателем липидограммы при применении статинов у больной с ИБС является +_____________+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ХС-ЛВП более 2,5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ХС-ЛВП менее 1,8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ХС-ЛНП менее 1,8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ХС-ЛНП менее 1,4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ХС-ЛНП менее 1,4</w:t>
      </w:r>
    </w:p>
    <w:p>
      <w:pPr>
        <w:ind w:left="504"/>
      </w:pPr>
      <w:r>
        <w:rPr>
          <w:b w:val="0"/>
          <w:i/>
        </w:rPr>
        <w:t>Целями лечения у пациентов очень высокого риска является уровень ХС-ЛНП менее 1,4 ммоль/л.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Основными целями медикаментозного лечения ИБС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и удержание веса и нормализация уровня липидов крови для уменьшения размеров атеросклеротических бляшек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поддержание артериального давления в пределах целевых значений, профилактика тромбоэмболических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устранение симптомов стенокардии и предотвращение неблагоприятных сердечно-сосудистых событий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регрессирование явлений хронической болезни почек (целевая СКФ &gt;60 мл/мин/1,73м2) и уменьшение отечного синдрома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устранение симптомов стенокардии и предотвращение неблагоприятных сердечно-сосудистых событий</w:t>
      </w:r>
    </w:p>
    <w:p>
      <w:pPr>
        <w:ind w:left="504"/>
      </w:pPr>
      <w:r>
        <w:rPr>
          <w:b w:val="0"/>
          <w:i/>
        </w:rPr>
        <w:t>Фармакологическое лечение у пациентов с ИБС преследует две основные цели: устранение симптомов и предотвращение сердечно-сосудистых событий.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Независимым фактором риска образования язв при приеме НПВС у больной является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ожирения 1 ст.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отягощенного по сердечно-сосудистым заболеваниям семейного анамнеза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_H. pylori_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артериальной гипертензии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_H. pylori_</w:t>
      </w:r>
    </w:p>
    <w:p>
      <w:pPr>
        <w:ind w:left="504"/>
      </w:pPr>
      <w:r>
        <w:rPr>
          <w:b w:val="0"/>
          <w:i/>
        </w:rPr>
        <w:t>Инфекция _H. pylori_  признана независимым фактором риска образования язв при приеме НПВС.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защиты слизистой желудка и профилактики желудочно-кишечных кровотечений больной, принимающей препараты ацетилсалициловой кислоты, 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соблюдение строгой щадящей диеты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дополнительное использование алюминий-содержащих антацидов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применять аспирин в форме «шипучих» растворимых таблеток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прием ингибиторов протоновой помпы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прием ингибиторов протоновой помпы</w:t>
      </w:r>
    </w:p>
    <w:p>
      <w:pPr>
        <w:ind w:left="504"/>
      </w:pPr>
      <w:r>
        <w:rPr>
          <w:b w:val="0"/>
          <w:i/>
        </w:rPr>
        <w:t>У пациентов со стабильной ИБС с высоким риском кровотечений из ЖКТ или при наличии кровотечения ЖКТ в анамнезе, получающих АСК или комбинацию нескольких антитромботических средств, для защиты слизистой желудка и профилактики желудочно-кишечных кровотечений рекомендуется использовать ингибиторы протонового насоса (по показанию - профилактика эрозивно-язвенных поражений желудка и двенадцатиперстной кишки, связанных с приемом нестероидных противовоспалительных препаратов.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Применение ингибиторов протонового насоса рекомендуется всем пациентам, получающим тройную антитромботическую терапию, а также у пациентов с повышенным риском желудочно-кишечных кровотечений (язвенная болезнь или желудочно-кишечное кровотечение в анамнезе, хроническое использование нестероидных противовоспалительных средств или кортикостероидов, как минимум 2 из следующих признаков - возраст ³65 лет, диспепсия, желудочно-пищеводный рефлюкс, инфицирование _Helicobacter Pylori_, хроническое употребление алкоголя.</w:t>
        <w:br/>
        <w:br/>
      </w:r>
      <w:hyperlink r:id="rId3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У пациента есть 2 ФР – возраст и инфицирование _Helicobacter Pylori_</w:t>
      </w:r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 пациентки с основным диагнозом ишемической болезни сердца обязательными для приема препаратами,  наряду с бета-адреноблокаторами и антиагрегантами,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статины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ингибиторы АПФ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диуретики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блокаторы рецепторов ангиотензина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статины</w:t>
      </w:r>
    </w:p>
    <w:p>
      <w:pPr>
        <w:ind w:left="504"/>
      </w:pPr>
      <w:r>
        <w:rPr>
          <w:b w:val="0"/>
          <w:i/>
        </w:rPr>
        <w:t>Все пациенты с хронической ИБС относятся к категории лиц очень высокого риска, поэтому для профилактики ССО им всем рекомендуется коррекция дислипидемии с использованием мероприятий по здоровому образу жизни и оптимальной медикаментозной терапии для профилактики ССО.</w:t>
        <w:br/>
        <w:br/>
      </w:r>
      <w:hyperlink r:id="rId1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уровня.</w:t>
        <w:br/>
        <w:br/>
      </w:r>
      <w:hyperlink r:id="rId30">
        <w:r>
          <w:rPr>
            <w:color w:val="0F766E"/>
            <w:u w:val="single"/>
          </w:rPr>
          <w:t>(2)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Лечебное дело (ПП)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К. 54 лет на осмотре у врача-гастроэнтеролога.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- на постоянные ноющие боли в эпигастральной области, усиливающиеся через 30-40 мин после приема жирной и острой пищи, с иррадиацией в спину, левую половину грудной клетки, часто принимающих характер опоясывающих;</w:t>
      </w:r>
    </w:p>
    <w:p>
      <w:pPr>
        <w:spacing w:after="58"/>
      </w:pPr>
      <w:r>
        <w:rPr>
          <w:b w:val="0"/>
          <w:i w:val="0"/>
        </w:rPr>
        <w:t>- частый стул до 3-5 раз в день, обильный, «блестящий», зловонный, трудно смывается с унитаза;</w:t>
      </w:r>
    </w:p>
    <w:p>
      <w:pPr>
        <w:spacing w:after="58"/>
      </w:pPr>
      <w:r>
        <w:rPr>
          <w:b w:val="0"/>
          <w:i w:val="0"/>
        </w:rPr>
        <w:t>- похудание за 1,5 месяца на 7 кг;</w:t>
      </w:r>
    </w:p>
    <w:p>
      <w:pPr>
        <w:spacing w:after="58"/>
      </w:pPr>
      <w:r>
        <w:rPr>
          <w:b w:val="0"/>
          <w:i w:val="0"/>
        </w:rPr>
        <w:t>- ощущение сухости во рту;</w:t>
      </w:r>
    </w:p>
    <w:p>
      <w:pPr>
        <w:spacing w:after="58"/>
      </w:pPr>
      <w:r>
        <w:rPr>
          <w:b w:val="0"/>
          <w:i w:val="0"/>
        </w:rPr>
        <w:t>- повышенную жажду;</w:t>
      </w:r>
    </w:p>
    <w:p>
      <w:pPr>
        <w:spacing w:after="58"/>
      </w:pPr>
      <w:r>
        <w:rPr>
          <w:b w:val="0"/>
          <w:i w:val="0"/>
        </w:rPr>
        <w:t>- кожный зуд.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больной 10 лет назад, после приема большого количества жирной пищи, развился приступ болей в области правого подреберья, сопровождавшийся рвотой с примесью желчи, повышением температуры до субфебрильных цифр. В районной больнице, куда срочно была госпитализирована больная, диагностировали острый калькулезный холецистит и экстренно произведена холецистэктомия. Через 1 неделю после выписки у больной появились периодические ноющие боли в области левого подреберья, возникавшие после приема жирной и острой пищи. К врачам больная не обращалась, обследование не проводилось. По совету друзей принимала но-шпу и фестал с умеренным эффектом. Ухудшение состояния примерно 6 месяцев назад, когда боли в эпигастральной области стали постоянными, усиливаясь после приема пищи, появился частый, зловонный, трудно смываемый с унитаза стул. Похудела на 7 кг. В течение последнего месяца отмечает появление сухости во рту, повышенной жажды, кожного зуда. По поводу кожного зуда была осмотрена дерматологом, кожных заболеваний выявлено не было.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росла и развивалась нормально;</w:t>
      </w:r>
    </w:p>
    <w:p>
      <w:pPr>
        <w:spacing w:after="58"/>
      </w:pPr>
      <w:r>
        <w:rPr>
          <w:b w:val="0"/>
          <w:i w:val="0"/>
        </w:rPr>
        <w:t>- замужем, имеет двоих здоровых детей;</w:t>
      </w:r>
    </w:p>
    <w:p>
      <w:pPr>
        <w:spacing w:after="58"/>
      </w:pPr>
      <w:r>
        <w:rPr>
          <w:b w:val="0"/>
          <w:i w:val="0"/>
        </w:rPr>
        <w:t>- работает продавцом в продуктовом магазине. Питается не регулярно, диету не соблюдает;</w:t>
      </w:r>
    </w:p>
    <w:p>
      <w:pPr>
        <w:spacing w:after="58"/>
      </w:pPr>
      <w:r>
        <w:rPr>
          <w:b w:val="0"/>
          <w:i w:val="0"/>
        </w:rPr>
        <w:t>- курит по 20 сигарет в день в течение 30 лет, злоупотребление алкоголем отрицает;</w:t>
      </w:r>
    </w:p>
    <w:p>
      <w:pPr>
        <w:spacing w:after="58"/>
      </w:pPr>
      <w:r>
        <w:rPr>
          <w:b w:val="0"/>
          <w:i w:val="0"/>
        </w:rPr>
        <w:t>- в анамнезе – детские инфекции, ОРВИ, желчнокаменная болезнь;</w:t>
      </w:r>
    </w:p>
    <w:p>
      <w:pPr>
        <w:spacing w:after="58"/>
      </w:pPr>
      <w:r>
        <w:rPr>
          <w:b w:val="0"/>
          <w:i w:val="0"/>
        </w:rPr>
        <w:t>- не переносимости лекарственных препаратов и пищевых продуктов не отмечено;</w:t>
      </w:r>
    </w:p>
    <w:p>
      <w:pPr>
        <w:spacing w:after="58"/>
      </w:pPr>
      <w:r>
        <w:rPr>
          <w:b w:val="0"/>
          <w:i w:val="0"/>
        </w:rPr>
        <w:t>- наследственность: у матери гипертоническая болезнь, отец умер от инсульта.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Сознание ясное. Положение больной активное. Телосложение нормостеническое. Рост 169 см. Масса тела 75 кг. Индекс массы тела 26,22 кг/м2. Кожные покровы чистые, обычной окраски. Подкожная клетчатка развита хорошо. Отеков нет. Лимфатические узлы не пальпируются. Общее развитие мышечной системы умеренное. Костная система без видимых изменений. Суставы не изменены, движения в полном объеме. Тип дыхания грудной. Ритм дыхания правильный. ЧДД 20 в 1 мин. При сравнительной перкуссии над всей поверхностью легких звук ясный. Дыхание в легких везикулярное, хрипов нет. Область сердца не изменена. Границы относительной тупости сердца в пределах нормы. При аускультации тоны сердца нормальной звучности, шумы не выслушиваются. Пульс 76 уд. 1 мин., ритмичный. АД 110/65 мм.рт.ст.</w:t>
      </w:r>
    </w:p>
    <w:p>
      <w:pPr>
        <w:spacing w:after="58"/>
      </w:pPr>
      <w:r>
        <w:rPr>
          <w:b w:val="0"/>
          <w:i w:val="0"/>
        </w:rPr>
        <w:t>Живот обычной формы, симметричный, при пальпации мягкий, болезненный в эпигастральной области, больше слева. Симптом Щеткина-Блюмберга отрицательный. При глубокой пальпации определяются сигмовидная и слепая кишка, безболезненные, урчащие при надавливании. Печень и селезенка не увеличены. Поджелудочная железа не пальпируется. Выявляется положительный симптом Керте. Френикус-симптом положителен слева. Почки не пальпируются. Симптом поколачивания отрицателен с обеих сторон. Щитовидная железа не увеличена.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больной наиболее вероятным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раздраженной кишки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Хронический билиарнозависимый панкреатит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Глютеновая энтеропатия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гепатит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билиарнозависимый панкреатит</w:t>
      </w:r>
    </w:p>
    <w:p>
      <w:pPr>
        <w:ind w:left="504"/>
      </w:pPr>
      <w:r>
        <w:rPr>
          <w:b w:val="0"/>
          <w:i/>
        </w:rPr>
        <w:t>На возможное наличие у больной хронического панкреатита указывает локализация боли и ее характерная иррадиация. Частый неоформленный стул, содержащий большое количество нейтрального жира (стул «блестящий», с неприятным запахом, плохо смывается с унитаза), обусловлен внешнесекреторной недостаточностью поджелудочной железы. В анамнезе желчнокаменная болезнь. Выявлены, встречающиеся при панкреатите, положительный симптом Керте (локальное мышечное напряжение в области проекции поджелудочной железы на переднюю брюшную стенку) и левосторонний френикус-симптом. Больная курит в течение 20 лет. Курение является независимым фактором риска развития хронического панкреатита.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(4)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Ведущим в клинической картине хронического панкреатита у больной является синдром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Вернера-Моррисона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внешнесекреторной панкреатической недостаточности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избыточного бактериального роста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внешнесекреторной панкреатической недостаточности</w:t>
      </w:r>
    </w:p>
    <w:p>
      <w:pPr>
        <w:ind w:left="504"/>
      </w:pPr>
      <w:r>
        <w:rPr>
          <w:b w:val="0"/>
          <w:i/>
        </w:rPr>
        <w:t>Частый стул до 3-5 раз в день, кашицеобразный, «блестящий», зловонный, плохо смывается с унитаза, говорит о большом содержании нейтрального жира, в следствии недостаточной выработки панкреатической липазы. Больная за 1,5 месяца потеряла 7 кг массы тела.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течение последнего месяца заболевания у больной появились симптомы синдрома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недостаточности кишечного всасывания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избыточного бактериального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эндокринной панкреатической недостаточности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эндокринной панкреатической недостаточности</w:t>
      </w:r>
    </w:p>
    <w:p>
      <w:pPr>
        <w:ind w:left="504"/>
      </w:pPr>
      <w:r>
        <w:rPr>
          <w:b w:val="0"/>
          <w:i/>
        </w:rPr>
        <w:t>В течение последнего месяца больная отмечает появление характерных для сахарного диабета жалоб: сухости во рту, повышенной жажды, кожного зуда.</w:t>
        <w:br/>
        <w:br/>
        <w:t>Согласно статистике, у 70% пациентов с хроническим панкреатитом со временем нарушается толерантность к глюкозе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Наиболее информативным методом визуализации для подтверждения диагноза хронического панкреатита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мультиспиральная компьютерная томография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ЭРХПГ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мультиспиральная компьютерная томография</w:t>
      </w:r>
    </w:p>
    <w:p>
      <w:pPr>
        <w:ind w:left="504"/>
      </w:pPr>
      <w:r>
        <w:rPr>
          <w:b w:val="0"/>
          <w:i/>
        </w:rPr>
        <w:t>Мультиспиральная компьютерная томография в настоящее время является одним из лучших методов для первичной диагностики хронического панкреатита, превосходя диагностическую ценность трансабдоминального УЗИ. Чувствительность метода составляет 75-90%, специфичность 85-90%.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диагностики эндокринной недостаточности поджелудочной железы, у данной больной, целесообразно использовать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гликозилированного гемоглобина HbА1c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амилазы в сыворотке крови и моче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уровня сахара в сыворотке крови с нагрузкой глюкозой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гликогена в сыворотке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гликозилированного гемоглобина HbА1c</w:t>
      </w:r>
    </w:p>
    <w:p>
      <w:pPr>
        <w:ind w:left="504"/>
      </w:pPr>
      <w:r>
        <w:rPr>
          <w:b w:val="0"/>
          <w:i/>
        </w:rPr>
        <w:t>Диагностика эндокринной недостаточности должно осуществляться путем регулярного определения концентрации гликозилированного гемоглобина (HbА1c), уровня глюкозы крови натощак. Преимущество HbА1c заключается в более низкой вариабельности результатов относительно показателей глюкозы крови.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диагностики нарушения внешнесекреторной функции поджелудочной железы в клинических условиях показано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амилазы в моче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растительной клетчатки в кале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липазы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фекальной эластазы (ФЭ-1)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фекальной эластазы (ФЭ-1)</w:t>
      </w:r>
    </w:p>
    <w:p>
      <w:pPr>
        <w:ind w:left="504"/>
      </w:pPr>
      <w:r>
        <w:rPr>
          <w:b w:val="0"/>
          <w:i/>
        </w:rPr>
        <w:t>Фекальный эластазный тест — очень простой анализ для непрямой и неинвазивной оценки секреции поджелудочной железы. Этот анализ широко доступен и требует всего лишь небольшого образца кала для исследования. Общепризнанным является факт, что чем ниже концентрация ФЭ-1, тем выше вероятность внешнесекреторной недостаточности поджелудочной железы.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 тяжелой степени экзокринной недостаточности говорит содержание эластазы-1 в кале равной +_______________+ мкг/г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101-200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201-300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0-100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301-400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0-100</w:t>
      </w:r>
    </w:p>
    <w:p>
      <w:pPr>
        <w:ind w:left="504"/>
      </w:pPr>
      <w:r>
        <w:rPr>
          <w:b w:val="0"/>
          <w:i/>
        </w:rPr>
        <w:t>Снижение содержания эластазы в кале свидетельствует о первичной экзокринной недостаточности ПЖ (0–100 мкг/г — тяжелая; 101–200 — средняя или легкая), что является показанием для пожизненной, чаще всего для так называемой высокодозной заместительной ферментной терапии.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Лечение внешнесекреторной недостаточности поджелудочной железы включает, прежде всего,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спазмолитиков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обезболивающих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антибиотиков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ферментных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ферментных препаратов</w:t>
      </w:r>
    </w:p>
    <w:p>
      <w:pPr>
        <w:ind w:left="504"/>
      </w:pPr>
      <w:r>
        <w:rPr>
          <w:b w:val="0"/>
          <w:i/>
        </w:rPr>
        <w:t>При наличии клинически выраженной стеатореи (неоформленный, зловонный с жирным блеском стул), признаков нутритивной недостаточности (потеря массы тела) показано назначение ферментных препаратов.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Минимальная доза заместительной полиферментной начальной терапии должна назначаться из расчета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10-20 тыс. ед. панкреатина только в основные приемы пищи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10-20 тыс. ед. панкреатина в основной прием пищи + 10 тыс. ед. в промежуточный прием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40-60 тыс. ед. панкреатина в основной прием пищи + 20-25 тыс. ед. в промежуточный прием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40-50 тыс. ед. панкреатина в основной прием пищи + 20-25 тыс. ед. в промежуточный прием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40-50 тыс. ед. панкреатина в основной прием пищи + 20-25 тыс. ед. в промежуточный прием</w:t>
      </w:r>
    </w:p>
    <w:p>
      <w:pPr>
        <w:ind w:left="504"/>
      </w:pPr>
      <w:r>
        <w:rPr>
          <w:b w:val="0"/>
          <w:i/>
        </w:rPr>
        <w:t>У пациентов с клиническими симптомами экзокринной недостаточности ПЖ  рекомендуемая минимальная доза капсулированного панкреатина для начального лечения составляет 40-50 тыс. ед. на основной прием (3 раза в день) и половинная доза (20-25 тыс. ед.) на промежуточные приемы пищи (общая кратность не менее 5 раз в сутки).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развитии панкреатогенного сахарного диабета (тип IIIc) лечение, в большинстве случаев, должно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производными сульфонилмочевины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тиазолидиндионами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инсулином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ингибиторами альфа-глюкозидазы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инсулином</w:t>
      </w:r>
    </w:p>
    <w:p>
      <w:pPr>
        <w:ind w:left="504"/>
      </w:pPr>
      <w:r>
        <w:rPr>
          <w:b w:val="0"/>
          <w:i/>
        </w:rPr>
        <w:t>Развитие сахарного диабета при хроническом панкреатите происходит в результате выраженного фиброза паренхимы поджелудочной железы, поэтому пероральные гипогликемические средства в терапии не играют существенной роли. Большинству пациентов с панкреатогенным сахарным диабетом требуется назначение инсулина.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Предпочтительным анальгетиком первого уровня для купирования болевого синдрома при хроническом панкреатите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морфин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стероидные противовоспалительные препараты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промедол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</w:t>
      </w:r>
    </w:p>
    <w:p>
      <w:pPr>
        <w:ind w:left="504"/>
      </w:pPr>
      <w:r>
        <w:rPr>
          <w:b w:val="0"/>
          <w:i/>
        </w:rPr>
        <w:t>Предпочтительным анальгетиком 1-го уровня является парацетамол в силу его ограниченных побочных эффектов, тогда как нестероидных противовоспалительных препаратов рекомендуется избегать из-за их способности повреждать слизистую оболочку пищеварительного тракта.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 данной больной, с большой долей вероятности, можно ожидать развитие осложнения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реактивного артрита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спленомегалии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остеопороза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мышечной дистрофии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остеопороза</w:t>
      </w:r>
    </w:p>
    <w:p>
      <w:pPr>
        <w:ind w:left="504"/>
      </w:pPr>
      <w:r>
        <w:rPr>
          <w:b w:val="0"/>
          <w:i/>
        </w:rPr>
        <w:t>Пациенты с ХП подвержены высокому риску развития остеопороза и остеопении и высокому риску возникновения спонтанного перелома.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br/>
        <w:br/>
      </w:r>
      <w:hyperlink r:id="rId4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56_24/" TargetMode="External"/><Relationship Id="rId10" Type="http://schemas.openxmlformats.org/officeDocument/2006/relationships/hyperlink" Target="https://library.mededtech.ru/rest/documents/KP156_24/#list_item_3dh5re" TargetMode="External"/><Relationship Id="rId11" Type="http://schemas.openxmlformats.org/officeDocument/2006/relationships/hyperlink" Target="https://library.mededtech.ru/rest/documents/ISBN9785970458877/?anchor=paragraph_imjb6o#paragraph_imjb6o" TargetMode="External"/><Relationship Id="rId12" Type="http://schemas.openxmlformats.org/officeDocument/2006/relationships/hyperlink" Target="https://library.mededtech.ru/rest/documents/KP708_2/" TargetMode="External"/><Relationship Id="rId13" Type="http://schemas.openxmlformats.org/officeDocument/2006/relationships/hyperlink" Target="https://library.mededtech.ru/rest/documents/KP708_2/#list_item_3m3d4q" TargetMode="External"/><Relationship Id="rId14" Type="http://schemas.openxmlformats.org/officeDocument/2006/relationships/hyperlink" Target="https://library.mededtech.ru/rest/documents/KP155_24/" TargetMode="External"/><Relationship Id="rId15" Type="http://schemas.openxmlformats.org/officeDocument/2006/relationships/hyperlink" Target="https://library.mededtech.ru/rest/documents/KP155_24/#list_item_udpfta" TargetMode="External"/><Relationship Id="rId16" Type="http://schemas.openxmlformats.org/officeDocument/2006/relationships/hyperlink" Target="https://library.mededtech.ru/rest/documents/KP156_24/#list_item_87dv8l" TargetMode="External"/><Relationship Id="rId17" Type="http://schemas.openxmlformats.org/officeDocument/2006/relationships/hyperlink" Target="https://library.mededtech.ru/rest/documents/ISBN9785970477519/?anchor=paragraph_7d19k3#paragraph_7d19k3" TargetMode="External"/><Relationship Id="rId18" Type="http://schemas.openxmlformats.org/officeDocument/2006/relationships/hyperlink" Target="https://library.mededtech.ru/rest/documents/KP62_24/" TargetMode="External"/><Relationship Id="rId19" Type="http://schemas.openxmlformats.org/officeDocument/2006/relationships/hyperlink" Target="https://library.mededtech.ru/rest/documents/KP62_24/#paragraph_mrpra3" TargetMode="External"/><Relationship Id="rId20" Type="http://schemas.openxmlformats.org/officeDocument/2006/relationships/hyperlink" Target="https://library.mededtech.ru/rest/documents/KP155_24/#paragraph_aa8j68" TargetMode="External"/><Relationship Id="rId21" Type="http://schemas.openxmlformats.org/officeDocument/2006/relationships/hyperlink" Target="https://library.mededtech.ru/rest/documents/KP155_24/#table&#1055;&#1040;3-1" TargetMode="External"/><Relationship Id="rId22" Type="http://schemas.openxmlformats.org/officeDocument/2006/relationships/hyperlink" Target="https://library.mededtech.ru/rest/documents/KP156_24/#paragraph_jfa315" TargetMode="External"/><Relationship Id="rId23" Type="http://schemas.openxmlformats.org/officeDocument/2006/relationships/hyperlink" Target="https://library.mededtech.ru/rest/documents/KP708_2/#paragraph_7jda8j" TargetMode="External"/><Relationship Id="rId24" Type="http://schemas.openxmlformats.org/officeDocument/2006/relationships/hyperlink" Target="https://library.mededtech.ru/rest/documents/KP156_24/#list_item_bbvqlk" TargetMode="External"/><Relationship Id="rId25" Type="http://schemas.openxmlformats.org/officeDocument/2006/relationships/hyperlink" Target="https://library.mededtech.ru/rest/documents/KP708_2/#paragraph_057qhk" TargetMode="External"/><Relationship Id="rId26" Type="http://schemas.openxmlformats.org/officeDocument/2006/relationships/hyperlink" Target="https://library.mededtech.ru/rest/documents/KP156_24/#list_item_m93t6l" TargetMode="External"/><Relationship Id="rId27" Type="http://schemas.openxmlformats.org/officeDocument/2006/relationships/hyperlink" Target="https://library.mededtech.ru/rest/documents/KP62_24/#tablep20" TargetMode="External"/><Relationship Id="rId28" Type="http://schemas.openxmlformats.org/officeDocument/2006/relationships/hyperlink" Target="https://library.mededtech.ru/rest/documents/KP155_24/#list_item_17637a" TargetMode="External"/><Relationship Id="rId29" Type="http://schemas.openxmlformats.org/officeDocument/2006/relationships/hyperlink" Target="https://library.mededtech.ru/rest/documents/KP155_24/#paragraph_7er0vq" TargetMode="External"/><Relationship Id="rId30" Type="http://schemas.openxmlformats.org/officeDocument/2006/relationships/hyperlink" Target="https://library.mededtech.ru/rest/documents/KP155_24/#list_item_mrogbv" TargetMode="External"/><Relationship Id="rId31" Type="http://schemas.openxmlformats.org/officeDocument/2006/relationships/hyperlink" Target="https://library.mededtech.ru/rest/documents/KP155_24/#paragraph_38e44c" TargetMode="External"/><Relationship Id="rId32" Type="http://schemas.openxmlformats.org/officeDocument/2006/relationships/hyperlink" Target="https://library.mededtech.ru/rest/documents/KP155_24/#list_item_ugtbeq" TargetMode="External"/><Relationship Id="rId33" Type="http://schemas.openxmlformats.org/officeDocument/2006/relationships/hyperlink" Target="https://library.mededtech.ru/rest/documents/KP155_24/#paragraph_o7mv13" TargetMode="External"/><Relationship Id="rId34" Type="http://schemas.openxmlformats.org/officeDocument/2006/relationships/hyperlink" Target="https://library.mededtech.ru/rest/documents/KP155_24/#list_item_k232vm" TargetMode="External"/><Relationship Id="rId35" Type="http://schemas.openxmlformats.org/officeDocument/2006/relationships/hyperlink" Target="https://library.mededtech.ru/rest/documents/KP273_24/" TargetMode="External"/><Relationship Id="rId36" Type="http://schemas.openxmlformats.org/officeDocument/2006/relationships/hyperlink" Target="https://library.mededtech.ru/rest/documents/KP273_24/#paragraph_nlset1" TargetMode="External"/><Relationship Id="rId37" Type="http://schemas.openxmlformats.org/officeDocument/2006/relationships/hyperlink" Target="https://library.mededtech.ru/rest/documents/KP273_24/#paragraph_m4hsm3" TargetMode="External"/><Relationship Id="rId38" Type="http://schemas.openxmlformats.org/officeDocument/2006/relationships/hyperlink" Target="https://library.mededtech.ru/rest/documents/KP273_24/#paragraph_15l7vv" TargetMode="External"/><Relationship Id="rId39" Type="http://schemas.openxmlformats.org/officeDocument/2006/relationships/hyperlink" Target="https://library.mededtech.ru/rest/documents/KP273_24/#paragraph_2job33" TargetMode="External"/><Relationship Id="rId40" Type="http://schemas.openxmlformats.org/officeDocument/2006/relationships/hyperlink" Target="https://library.mededtech.ru/rest/documents/KP273_24/#paragraph_rj05mq" TargetMode="External"/><Relationship Id="rId41" Type="http://schemas.openxmlformats.org/officeDocument/2006/relationships/hyperlink" Target="https://library.mededtech.ru/rest/documents/KP273_24/#list_item_3s3r85" TargetMode="External"/><Relationship Id="rId42" Type="http://schemas.openxmlformats.org/officeDocument/2006/relationships/hyperlink" Target="https://library.mededtech.ru/rest/documents/KP273_24/#list_item_55ns84" TargetMode="External"/><Relationship Id="rId43" Type="http://schemas.openxmlformats.org/officeDocument/2006/relationships/hyperlink" Target="https://library.mededtech.ru/rest/documents/KP273_24/#list_item_ioebkq" TargetMode="External"/><Relationship Id="rId44" Type="http://schemas.openxmlformats.org/officeDocument/2006/relationships/hyperlink" Target="https://library.mededtech.ru/rest/documents/KP273_24/#paragraph_r7hnm2" TargetMode="External"/><Relationship Id="rId45" Type="http://schemas.openxmlformats.org/officeDocument/2006/relationships/hyperlink" Target="https://library.mededtech.ru/rest/documents/KP273_24/#list_item_nf0kp2" TargetMode="External"/><Relationship Id="rId46" Type="http://schemas.openxmlformats.org/officeDocument/2006/relationships/hyperlink" Target="https://library.mededtech.ru/rest/documents/KP273_24/#list_item_8hnptr" TargetMode="External"/><Relationship Id="rId47" Type="http://schemas.openxmlformats.org/officeDocument/2006/relationships/hyperlink" Target="https://library.mededtech.ru/rest/documents/KP273_24/#paragraph_e28ilr" TargetMode="External"/><Relationship Id="rId48" Type="http://schemas.openxmlformats.org/officeDocument/2006/relationships/hyperlink" Target="https://library.mededtech.ru/rest/documents/KP273_24/#list_item_57crsu" TargetMode="External"/><Relationship Id="rId49" Type="http://schemas.openxmlformats.org/officeDocument/2006/relationships/hyperlink" Target="https://library.mededtech.ru/rest/documents/KP273_24/#paragraph_k817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